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Georgia" w:cs="Georgia" w:eastAsia="Georgia" w:hAnsi="Georgia"/>
          <w:b/>
          <w:bCs/>
          <w:color w:val="1e3a5f"/>
          <w:sz w:val="42"/>
          <w:szCs w:val="42"/>
        </w:rPr>
        <w:t xml:space="preserve">Coach Evaluation Scorecard</w:t>
      </w:r>
    </w:p>
    <w:p>
      <w:pPr>
        <w:spacing w:after="40" w:before="0"/>
      </w:pPr>
      <w:r>
        <w:rPr>
          <w:rFonts w:ascii="Calibri" w:cs="Calibri" w:eastAsia="Calibri" w:hAnsi="Calibri"/>
          <w:color w:val="334155"/>
          <w:sz w:val="20"/>
          <w:szCs w:val="20"/>
        </w:rPr>
        <w:t xml:space="preserve">Compare up to three coaches. Ask each the same ten questions; score 1 (weak) to 5 (strong) during or right after each conversation.</w:t>
      </w:r>
    </w:p>
    <w:p>
      <w:pPr>
        <w:spacing w:after="200" w:before="0"/>
      </w:pPr>
      <w:r>
        <w:rPr>
          <w:rFonts w:ascii="Calibri" w:cs="Calibri" w:eastAsia="Calibri" w:hAnsi="Calibri"/>
          <w:i/>
          <w:iCs/>
          <w:color w:val="2d7a8a"/>
          <w:sz w:val="18"/>
          <w:szCs w:val="18"/>
        </w:rPr>
        <w:t xml:space="preserve">The total disciplines your attention – it doesn’t make the decision. If the total and the gut-check disagree, believe the gut-check.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1800"/>
        <w:gridCol w:w="1800"/>
        <w:gridCol w:w="1800"/>
      </w:tblGrid>
      <w:tr>
        <w:trPr>
          <w:tblHeader/>
        </w:trP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1e3a5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Criterion – score each 1–5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1e3a5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Coach 1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1e3a5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Coach 2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1e3a5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Coach 3</w:t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0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8"/>
                <w:szCs w:val="18"/>
              </w:rPr>
              <w:t xml:space="preserve">Name / date of conversation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0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0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0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1.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Clear engagement arc (a start, a middle, an end)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2.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Concrete way to know it’s working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3.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Honest about fit – knows who they refer out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4.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Candid about an engagement that failed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5.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Real training, and still developing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6.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Clean confidentiality terms (three-way clarity)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7.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Sessions sound like coaching, not advice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8.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Assessments serve a purpose, not a pitch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9.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Expects real work between sessions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d7a8a"/>
                <w:sz w:val="19"/>
                <w:szCs w:val="19"/>
              </w:rPr>
              <w:t xml:space="preserve">10.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Present, self-aware, credible “why”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0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3a5f"/>
                <w:sz w:val="20"/>
                <w:szCs w:val="20"/>
              </w:rPr>
              <w:t xml:space="preserve">Total ( / 50)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0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0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0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9"/>
                <w:szCs w:val="19"/>
              </w:rPr>
              <w:t xml:space="preserve">Gut-check: </w:t>
            </w:r>
            <w:r>
              <w:rPr>
                <w:rFonts w:ascii="Calibri" w:cs="Calibri" w:eastAsia="Calibri" w:hAnsi="Calibri"/>
                <w:i/>
                <w:iCs/>
                <w:color w:val="334155"/>
                <w:sz w:val="18"/>
                <w:szCs w:val="18"/>
              </w:rPr>
              <w:t xml:space="preserve">after the conversation I felt…  clearer · energized · talked at · rushed</w:t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4155"/>
                <w:sz w:val="19"/>
                <w:szCs w:val="19"/>
              </w:rPr>
              <w:t xml:space="preserve"/>
            </w:r>
          </w:p>
        </w:tc>
      </w:tr>
    </w:tbl>
    <w:p>
      <w:pPr>
        <w:spacing w:after="0" w:before="260"/>
      </w:pPr>
      <w:r>
        <w:rPr>
          <w:rFonts w:ascii="Georgia" w:cs="Georgia" w:eastAsia="Georgia" w:hAnsi="Georgia"/>
          <w:b/>
          <w:bCs/>
          <w:color w:val="1e3a5f"/>
          <w:sz w:val="24"/>
          <w:szCs w:val="24"/>
        </w:rPr>
        <w:t xml:space="preserve">Notes</w:t>
      </w:r>
    </w:p>
    <w:p>
      <w:pPr>
        <w:pBdr>
          <w:bottom w:val="single" w:color="d6d3d1" w:sz="4"/>
        </w:pBdr>
        <w:spacing w:after="0" w:before="220"/>
      </w:pPr>
      <w:r>
        <w:rPr>
          <w:rFonts w:ascii="Calibri" w:cs="Calibri" w:eastAsia="Calibri" w:hAnsi="Calibri"/>
          <w:sz w:val="19"/>
          <w:szCs w:val="19"/>
        </w:rPr>
        <w:t xml:space="preserve"/>
      </w:r>
    </w:p>
    <w:p>
      <w:pPr>
        <w:pBdr>
          <w:bottom w:val="single" w:color="d6d3d1" w:sz="4"/>
        </w:pBdr>
        <w:spacing w:after="0" w:before="220"/>
      </w:pPr>
      <w:r>
        <w:rPr>
          <w:rFonts w:ascii="Calibri" w:cs="Calibri" w:eastAsia="Calibri" w:hAnsi="Calibri"/>
          <w:sz w:val="19"/>
          <w:szCs w:val="19"/>
        </w:rPr>
        <w:t xml:space="preserve"/>
      </w:r>
    </w:p>
    <w:p>
      <w:pPr>
        <w:pBdr>
          <w:bottom w:val="single" w:color="d6d3d1" w:sz="4"/>
        </w:pBdr>
        <w:spacing w:after="0" w:before="220"/>
      </w:pPr>
      <w:r>
        <w:rPr>
          <w:rFonts w:ascii="Calibri" w:cs="Calibri" w:eastAsia="Calibri" w:hAnsi="Calibri"/>
          <w:sz w:val="19"/>
          <w:szCs w:val="19"/>
        </w:rPr>
        <w:t xml:space="preserve"/>
      </w:r>
    </w:p>
    <w:p>
      <w:pPr>
        <w:pBdr>
          <w:top w:val="single" w:color="c8a87c" w:sz="4"/>
        </w:pBdr>
        <w:spacing w:after="0" w:before="320"/>
      </w:pPr>
      <w:r>
        <w:rPr>
          <w:rFonts w:ascii="Calibri" w:cs="Calibri" w:eastAsia="Calibri" w:hAnsi="Calibri"/>
          <w:color w:val="6b7280"/>
          <w:sz w:val="16"/>
          <w:szCs w:val="16"/>
        </w:rPr>
        <w:t xml:space="preserve">From “The Executive’s Guide to Hiring a Coach” · centeredwithscott.com/hiring-a-coach · Scott O’Leary, PhD · v1</w:t>
      </w:r>
    </w:p>
    <w:sectPr>
      <w:pgSz w:w="12240" w:h="15840" w:orient="portrait"/>
      <w:pgMar w:top="7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5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2026-07-11T02:38:25.735Z</dcterms:created>
  <dcterms:modified xsi:type="dcterms:W3CDTF">2026-07-11T02:38:25.737Z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